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F8F52">
      <w:pPr>
        <w:widowControl/>
        <w:spacing w:line="600" w:lineRule="exact"/>
        <w:ind w:firstLine="880" w:firstLineChars="200"/>
        <w:jc w:val="center"/>
        <w:rPr>
          <w:rFonts w:hint="eastAsia" w:eastAsia="方正小标宋_GBK"/>
          <w:bCs/>
          <w:kern w:val="0"/>
          <w:sz w:val="44"/>
          <w:szCs w:val="44"/>
          <w:lang w:val="en-US"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江永县潇浦镇允山中心幼儿园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35755357">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2011E495">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江永县潇浦镇允山中心幼儿园</w:t>
      </w:r>
      <w:r>
        <w:rPr>
          <w:rFonts w:eastAsia="仿宋_GB2312"/>
          <w:b/>
          <w:bCs/>
          <w:kern w:val="0"/>
          <w:sz w:val="32"/>
          <w:szCs w:val="32"/>
        </w:rPr>
        <w:t>部门概况</w:t>
      </w:r>
    </w:p>
    <w:p w14:paraId="7988C04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1287618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272A75C0">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73A8242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5D8A5B2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2C5BE4A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118E3E1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25D585E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12C5FEE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73DEA68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2366724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46D361BB">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5155A62A">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591A14F2">
      <w:pPr>
        <w:spacing w:line="600" w:lineRule="exact"/>
        <w:ind w:firstLine="640" w:firstLineChars="200"/>
        <w:jc w:val="left"/>
        <w:rPr>
          <w:rFonts w:eastAsia="仿宋_GB2312"/>
          <w:sz w:val="32"/>
          <w:szCs w:val="32"/>
        </w:rPr>
      </w:pPr>
      <w:r>
        <w:rPr>
          <w:rFonts w:eastAsia="仿宋_GB2312"/>
          <w:sz w:val="32"/>
          <w:szCs w:val="32"/>
        </w:rPr>
        <w:t>2、收入决算情况说明</w:t>
      </w:r>
    </w:p>
    <w:p w14:paraId="0899BB6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161F377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1B748B5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62379F9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6AFEE8F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6EC232BB">
      <w:pPr>
        <w:autoSpaceDE w:val="0"/>
        <w:autoSpaceDN w:val="0"/>
        <w:spacing w:line="600" w:lineRule="exact"/>
        <w:ind w:firstLine="640" w:firstLineChars="200"/>
        <w:jc w:val="left"/>
        <w:rPr>
          <w:rFonts w:eastAsia="仿宋_GB2312"/>
          <w:color w:val="000000"/>
          <w:kern w:val="0"/>
          <w:sz w:val="32"/>
          <w:szCs w:val="32"/>
        </w:rPr>
      </w:pPr>
      <w:bookmarkStart w:id="0" w:name="_GoBack"/>
      <w:bookmarkEnd w:id="0"/>
      <w:r>
        <w:rPr>
          <w:rFonts w:eastAsia="仿宋_GB2312"/>
          <w:color w:val="000000"/>
          <w:kern w:val="0"/>
          <w:sz w:val="32"/>
          <w:szCs w:val="32"/>
        </w:rPr>
        <w:t>8、政府性基金预算收入支出决算情况</w:t>
      </w:r>
    </w:p>
    <w:p w14:paraId="6BBA304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3AABF29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0A65E929">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4A7628DA">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DCDC6A5">
      <w:pPr>
        <w:widowControl/>
        <w:spacing w:line="600" w:lineRule="exact"/>
        <w:ind w:firstLine="720" w:firstLineChars="200"/>
        <w:jc w:val="center"/>
        <w:rPr>
          <w:rFonts w:hint="eastAsia" w:eastAsia="方正小标宋_GBK"/>
          <w:bCs/>
          <w:kern w:val="0"/>
          <w:sz w:val="36"/>
          <w:szCs w:val="36"/>
        </w:rPr>
      </w:pPr>
    </w:p>
    <w:p w14:paraId="00B42962">
      <w:pPr>
        <w:widowControl/>
        <w:spacing w:line="600" w:lineRule="exact"/>
        <w:ind w:firstLine="720" w:firstLineChars="200"/>
        <w:jc w:val="center"/>
        <w:rPr>
          <w:rFonts w:hint="eastAsia" w:eastAsia="方正小标宋_GBK"/>
          <w:bCs/>
          <w:kern w:val="0"/>
          <w:sz w:val="36"/>
          <w:szCs w:val="36"/>
        </w:rPr>
      </w:pPr>
    </w:p>
    <w:p w14:paraId="5624B727">
      <w:pPr>
        <w:widowControl/>
        <w:spacing w:line="600" w:lineRule="exact"/>
        <w:ind w:firstLine="720" w:firstLineChars="200"/>
        <w:jc w:val="center"/>
        <w:rPr>
          <w:rFonts w:hint="eastAsia" w:eastAsia="方正小标宋_GBK"/>
          <w:bCs/>
          <w:kern w:val="0"/>
          <w:sz w:val="36"/>
          <w:szCs w:val="36"/>
        </w:rPr>
      </w:pPr>
    </w:p>
    <w:p w14:paraId="0ABD89B4">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第一部分</w:t>
      </w:r>
      <w:r>
        <w:rPr>
          <w:rFonts w:hint="eastAsia" w:eastAsia="方正小标宋_GBK"/>
          <w:bCs/>
          <w:kern w:val="0"/>
          <w:sz w:val="36"/>
          <w:szCs w:val="36"/>
          <w:lang w:eastAsia="zh-CN"/>
        </w:rPr>
        <w:t>江永县潇浦镇允山中心幼儿园</w:t>
      </w:r>
      <w:r>
        <w:rPr>
          <w:rFonts w:hint="eastAsia" w:eastAsia="方正小标宋_GBK"/>
          <w:bCs/>
          <w:kern w:val="0"/>
          <w:sz w:val="36"/>
          <w:szCs w:val="36"/>
        </w:rPr>
        <w:t>部门概况</w:t>
      </w:r>
    </w:p>
    <w:p w14:paraId="24CCE182">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4CAEA609">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（一）财务决算编制</w:t>
      </w:r>
    </w:p>
    <w:p w14:paraId="39E55AA1">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收集数据：决算部门需收集各部门的财务数据，包括收入、支出、资产、负债等，确保数据的完整性和准确性。</w:t>
      </w:r>
    </w:p>
    <w:p w14:paraId="10691487">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编制决算报告：根据收集的数据，编制年度财务决算报告，详细列出各项财务收支情况，分析财务状况和运营效果。</w:t>
      </w:r>
    </w:p>
    <w:p w14:paraId="004F77EB">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审核与调整：对决算报告进行内部审核，确保数据的真实性和合理性。如有需要，根据审核结果进行调整。</w:t>
      </w:r>
    </w:p>
    <w:p w14:paraId="33806C98">
      <w:pPr>
        <w:rPr>
          <w:rFonts w:hint="eastAsia" w:ascii="楷体_GB2312" w:hAnsi="宋体" w:eastAsia="楷体_GB2312"/>
          <w:b w:val="0"/>
          <w:bCs w:val="0"/>
          <w:kern w:val="0"/>
          <w:sz w:val="32"/>
          <w:szCs w:val="32"/>
        </w:rPr>
      </w:pPr>
    </w:p>
    <w:p w14:paraId="5D030920">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（二）财务分析与管理</w:t>
      </w:r>
    </w:p>
    <w:p w14:paraId="1E3C9BFB">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财务状况分析：通过对决算数据的分析，了解幼儿园的财务状况，包括资金流动、成本控制、盈利能力等。</w:t>
      </w:r>
    </w:p>
    <w:p w14:paraId="7EA15E15">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预算管理：根据分析结果，制定或调整下一年度的财务预算，确保资金的有效利用和合理配置。</w:t>
      </w:r>
    </w:p>
    <w:p w14:paraId="4E9AF9D1">
      <w:pPr>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风险管理：识别潜在的财务风险，如资金短缺、成本超支等，并提出应对措施。</w:t>
      </w:r>
    </w:p>
    <w:p w14:paraId="3200626E">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341B772D">
      <w:pPr>
        <w:widowControl/>
        <w:spacing w:line="600" w:lineRule="exact"/>
        <w:ind w:firstLine="643" w:firstLineChars="200"/>
        <w:rPr>
          <w:rFonts w:hint="eastAsia" w:eastAsia="仿宋_GB2312"/>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江永县潇浦镇允山中心幼儿园</w:t>
      </w:r>
      <w:r>
        <w:rPr>
          <w:rFonts w:eastAsia="仿宋_GB2312"/>
          <w:bCs/>
          <w:kern w:val="0"/>
          <w:sz w:val="32"/>
          <w:szCs w:val="32"/>
        </w:rPr>
        <w:t>单位内设机构包括：</w:t>
      </w:r>
      <w:r>
        <w:rPr>
          <w:rFonts w:hint="eastAsia" w:eastAsia="仿宋_GB2312"/>
          <w:sz w:val="32"/>
          <w:szCs w:val="32"/>
          <w:lang w:eastAsia="zh-CN"/>
        </w:rPr>
        <w:t>江永县潇浦镇允山中心幼儿园</w:t>
      </w:r>
    </w:p>
    <w:p w14:paraId="45CD2B7B">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（二）决算单位构成。</w:t>
      </w:r>
      <w:r>
        <w:rPr>
          <w:rFonts w:hint="eastAsia" w:eastAsia="仿宋_GB2312"/>
          <w:sz w:val="32"/>
          <w:szCs w:val="32"/>
          <w:lang w:eastAsia="zh-CN"/>
        </w:rPr>
        <w:t>江永县潇浦镇允山中心幼儿园</w:t>
      </w:r>
      <w:r>
        <w:rPr>
          <w:rFonts w:eastAsia="仿宋_GB2312"/>
          <w:bCs/>
          <w:kern w:val="0"/>
          <w:sz w:val="32"/>
          <w:szCs w:val="32"/>
        </w:rPr>
        <w:t>单位</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eastAsia="zh-CN"/>
        </w:rPr>
        <w:t>江永县潇浦镇允山中心幼儿园</w:t>
      </w:r>
      <w:r>
        <w:rPr>
          <w:rFonts w:eastAsia="仿宋_GB2312"/>
          <w:bCs/>
          <w:kern w:val="0"/>
          <w:sz w:val="32"/>
          <w:szCs w:val="32"/>
        </w:rPr>
        <w:t>单位本级</w:t>
      </w:r>
      <w:r>
        <w:rPr>
          <w:rFonts w:hint="eastAsia" w:eastAsia="仿宋_GB2312"/>
          <w:bCs/>
          <w:kern w:val="0"/>
          <w:sz w:val="32"/>
          <w:szCs w:val="32"/>
          <w:lang w:eastAsia="zh-CN"/>
        </w:rPr>
        <w:t>。</w:t>
      </w:r>
    </w:p>
    <w:p w14:paraId="6D64A5C0">
      <w:pPr>
        <w:widowControl/>
        <w:spacing w:line="600" w:lineRule="exact"/>
        <w:ind w:firstLine="640" w:firstLineChars="200"/>
        <w:rPr>
          <w:rFonts w:eastAsia="仿宋_GB2312"/>
          <w:bCs/>
          <w:kern w:val="0"/>
          <w:sz w:val="32"/>
          <w:szCs w:val="32"/>
        </w:rPr>
      </w:pPr>
    </w:p>
    <w:p w14:paraId="104F650F">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796C6657">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7FF18DC">
      <w:pPr>
        <w:widowControl/>
        <w:tabs>
          <w:tab w:val="left" w:pos="7807"/>
        </w:tabs>
        <w:spacing w:line="600" w:lineRule="exact"/>
        <w:ind w:firstLine="720" w:firstLineChars="200"/>
        <w:jc w:val="both"/>
        <w:rPr>
          <w:rFonts w:hint="eastAsia" w:eastAsia="方正小标宋_GBK"/>
          <w:bCs/>
          <w:kern w:val="0"/>
          <w:sz w:val="36"/>
          <w:szCs w:val="36"/>
        </w:rPr>
      </w:pPr>
    </w:p>
    <w:p w14:paraId="4375B950">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3E12859">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3FBB8279">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w:t>
      </w:r>
    </w:p>
    <w:p w14:paraId="7F24DCC2">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5F986F4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%；上级补助收入</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%；事业收入</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%；经营收入</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%；其他收入</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721F34E">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520CEDF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lang w:val="en-US" w:eastAsia="zh-CN"/>
        </w:rPr>
        <w:t>86.480134</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60</w:t>
      </w:r>
      <w:r>
        <w:rPr>
          <w:rFonts w:ascii="Times New Roman" w:hAnsi="Times New Roman" w:eastAsia="仿宋_GB2312"/>
          <w:color w:val="000000"/>
          <w:sz w:val="32"/>
          <w:szCs w:val="32"/>
        </w:rPr>
        <w:t>%；项目支出</w:t>
      </w:r>
      <w:r>
        <w:rPr>
          <w:rFonts w:hint="eastAsia" w:ascii="Times New Roman" w:hAnsi="Times New Roman" w:eastAsia="仿宋_GB2312"/>
          <w:color w:val="000000"/>
          <w:sz w:val="32"/>
          <w:szCs w:val="32"/>
          <w:u w:val="single"/>
          <w:lang w:val="en-US" w:eastAsia="zh-CN"/>
        </w:rPr>
        <w:t>56.689488</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40</w:t>
      </w:r>
      <w:r>
        <w:rPr>
          <w:rFonts w:ascii="Times New Roman" w:hAnsi="Times New Roman" w:eastAsia="仿宋_GB2312"/>
          <w:color w:val="000000"/>
          <w:sz w:val="32"/>
          <w:szCs w:val="32"/>
        </w:rPr>
        <w:t>%；上缴上级支出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%；经营支出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%；对附属单位补助支出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w:t>
      </w:r>
    </w:p>
    <w:p w14:paraId="39BB52C3">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1A19D36C">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14:paraId="5C2C844F">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0E04CE42">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EF1EA3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万元，占本年支出合计的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063EDA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1078585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万元，主要用于以下方面：一般公共服务（类）支出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hint="eastAsia" w:ascii="Times New Roman" w:hAnsi="Times New Roman" w:eastAsia="仿宋_GB2312"/>
          <w:color w:val="000000"/>
          <w:sz w:val="32"/>
          <w:szCs w:val="32"/>
          <w:u w:val="single"/>
          <w:lang w:val="en-US" w:eastAsia="zh-CN"/>
        </w:rPr>
        <w:t>113.767358</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79</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B1D6A4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66542D80">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万元，支出决算数为</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D84A7A8">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1526AD9E">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万元，其中：人员经费</w:t>
      </w:r>
      <w:r>
        <w:rPr>
          <w:rFonts w:hint="eastAsia" w:ascii="Times New Roman" w:hAnsi="Times New Roman" w:eastAsia="仿宋_GB2312"/>
          <w:color w:val="000000"/>
          <w:sz w:val="32"/>
          <w:szCs w:val="32"/>
          <w:u w:val="single"/>
          <w:lang w:val="en-US" w:eastAsia="zh-CN"/>
        </w:rPr>
        <w:t>143.169622</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主要包括基本工资、津贴补贴、奖金、伙食补助费……；公用经费</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%，主要包括办公费、印刷费、咨询费、手续费。</w:t>
      </w:r>
    </w:p>
    <w:p w14:paraId="4C47D565">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1C95D38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B59FA9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%，其中：</w:t>
      </w:r>
    </w:p>
    <w:p w14:paraId="5CA85318">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w:t>
      </w:r>
    </w:p>
    <w:p w14:paraId="366907E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w:t>
      </w:r>
    </w:p>
    <w:p w14:paraId="02B46D6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w:t>
      </w:r>
    </w:p>
    <w:p w14:paraId="70A1FA0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79A732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%,因公出国（境）费支出决算</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%,公务用车购置费及运行维护费支出决算</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%。其中：</w:t>
      </w:r>
    </w:p>
    <w:p w14:paraId="602DA408">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1、因公出国（境）费支出决算为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万元，全年安排因公出国（境）团组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个，累计</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41FC2D3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w:t>
      </w:r>
    </w:p>
    <w:p w14:paraId="4A5E9FB6">
      <w:pPr>
        <w:spacing w:line="600" w:lineRule="exact"/>
        <w:ind w:firstLine="640" w:firstLineChars="200"/>
        <w:rPr>
          <w:rFonts w:hint="eastAsia" w:eastAsia="仿宋_GB2312"/>
          <w:sz w:val="32"/>
          <w:szCs w:val="32"/>
          <w:lang w:eastAsia="zh-CN"/>
        </w:rPr>
      </w:pPr>
      <w:r>
        <w:rPr>
          <w:rFonts w:eastAsia="仿宋_GB2312"/>
          <w:sz w:val="32"/>
          <w:szCs w:val="32"/>
        </w:rPr>
        <w:t>3、公务用车购置费及运行维护费支出决算为</w:t>
      </w:r>
      <w:r>
        <w:rPr>
          <w:rFonts w:hint="eastAsia" w:eastAsia="仿宋_GB2312"/>
          <w:sz w:val="32"/>
          <w:szCs w:val="32"/>
          <w:u w:val="single"/>
          <w:lang w:val="en-US" w:eastAsia="zh-CN"/>
        </w:rPr>
        <w:t>0</w:t>
      </w:r>
      <w:r>
        <w:rPr>
          <w:rFonts w:eastAsia="仿宋_GB2312"/>
          <w:sz w:val="32"/>
          <w:szCs w:val="32"/>
        </w:rPr>
        <w:t>万元，其中：公务用车购置费</w:t>
      </w:r>
      <w:r>
        <w:rPr>
          <w:rFonts w:hint="eastAsia" w:eastAsia="仿宋_GB2312"/>
          <w:sz w:val="32"/>
          <w:szCs w:val="32"/>
          <w:u w:val="single"/>
          <w:lang w:val="en-US" w:eastAsia="zh-CN"/>
        </w:rPr>
        <w:t>0</w:t>
      </w:r>
      <w:r>
        <w:rPr>
          <w:rFonts w:eastAsia="仿宋_GB2312"/>
          <w:sz w:val="32"/>
          <w:szCs w:val="32"/>
        </w:rPr>
        <w:t>万元</w:t>
      </w:r>
      <w:r>
        <w:rPr>
          <w:rFonts w:hint="eastAsia" w:eastAsia="仿宋_GB2312"/>
          <w:sz w:val="32"/>
          <w:szCs w:val="32"/>
          <w:lang w:eastAsia="zh-CN"/>
        </w:rPr>
        <w:t>。</w:t>
      </w:r>
    </w:p>
    <w:p w14:paraId="7FADD5C4">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3EBABC74">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万元；年初结转和结余</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万元，项目支出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万元；年末结转和结余</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w:t>
      </w:r>
    </w:p>
    <w:p w14:paraId="76338BD3">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74E9ABC2">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在2023年，</w:t>
      </w:r>
      <w:r>
        <w:rPr>
          <w:rFonts w:hint="eastAsia" w:ascii="Times New Roman" w:hAnsi="Times New Roman" w:eastAsia="仿宋_GB2312"/>
          <w:color w:val="000000"/>
          <w:sz w:val="32"/>
          <w:szCs w:val="32"/>
          <w:lang w:eastAsia="zh-CN"/>
        </w:rPr>
        <w:t>我园</w:t>
      </w:r>
      <w:r>
        <w:rPr>
          <w:rFonts w:hint="eastAsia" w:ascii="Times New Roman" w:hAnsi="Times New Roman" w:eastAsia="仿宋_GB2312"/>
          <w:color w:val="000000"/>
          <w:sz w:val="32"/>
          <w:szCs w:val="32"/>
        </w:rPr>
        <w:t>全面开展了预算绩效自评工作。通过科学合理的预算编制、严格的预算执行以及有效的绩效监控，确保了预算资金的高效利用和幼儿园各项工作的顺利开展。</w:t>
      </w:r>
    </w:p>
    <w:p w14:paraId="3E3C0F3E">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（一）</w:t>
      </w:r>
      <w:r>
        <w:rPr>
          <w:rFonts w:hint="eastAsia" w:ascii="Times New Roman" w:hAnsi="Times New Roman" w:eastAsia="仿宋_GB2312"/>
          <w:color w:val="000000"/>
          <w:sz w:val="32"/>
          <w:szCs w:val="32"/>
        </w:rPr>
        <w:t>、预算编制情况</w:t>
      </w:r>
    </w:p>
    <w:p w14:paraId="1F63437D">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预算编制原则：</w:t>
      </w:r>
    </w:p>
    <w:p w14:paraId="646D4CA9">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坚持量入为出、收支平衡的原则，确保预算的合理性和可行性。</w:t>
      </w:r>
    </w:p>
    <w:p w14:paraId="57D6102E">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优先考虑教育支出，保障幼儿园教学质量的提升。</w:t>
      </w:r>
    </w:p>
    <w:p w14:paraId="56985D28">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合理安排各项经费，确保幼儿园的正常运转和持续发展。</w:t>
      </w:r>
    </w:p>
    <w:p w14:paraId="71E48D96">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（二）</w:t>
      </w:r>
      <w:r>
        <w:rPr>
          <w:rFonts w:hint="eastAsia" w:ascii="Times New Roman" w:hAnsi="Times New Roman" w:eastAsia="仿宋_GB2312"/>
          <w:color w:val="000000"/>
          <w:sz w:val="32"/>
          <w:szCs w:val="32"/>
        </w:rPr>
        <w:t>、预算执行与监控</w:t>
      </w:r>
    </w:p>
    <w:p w14:paraId="168D0D47">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预算执行：</w:t>
      </w:r>
    </w:p>
    <w:p w14:paraId="3C2A5239">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严格按照预算计划进行支出，确保各项经费的合理使用。</w:t>
      </w:r>
    </w:p>
    <w:p w14:paraId="5D269C70">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对预算执行情况进行定期检查和评估，及时发现并纠正问题。</w:t>
      </w:r>
    </w:p>
    <w:p w14:paraId="493740BC">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绩效监控：</w:t>
      </w:r>
    </w:p>
    <w:p w14:paraId="02593595">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建立预算绩效监控机制，对预算资金的使用情况进行实时跟踪和监控。</w:t>
      </w:r>
    </w:p>
    <w:p w14:paraId="2D8CC1FB">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定期收集和分析绩效数据，评估预算资金的使用效果。</w:t>
      </w:r>
    </w:p>
    <w:p w14:paraId="790A1E3D">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（三）</w:t>
      </w:r>
      <w:r>
        <w:rPr>
          <w:rFonts w:hint="eastAsia" w:ascii="Times New Roman" w:hAnsi="Times New Roman" w:eastAsia="仿宋_GB2312"/>
          <w:color w:val="000000"/>
          <w:sz w:val="32"/>
          <w:szCs w:val="32"/>
        </w:rPr>
        <w:t>、存在的问题与改进措施</w:t>
      </w:r>
    </w:p>
    <w:p w14:paraId="1298C386">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存在的问题：</w:t>
      </w:r>
    </w:p>
    <w:p w14:paraId="644DA02F">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部分预算资金的使用效率仍有待提高。</w:t>
      </w:r>
    </w:p>
    <w:p w14:paraId="0DAF18A7">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预算绩效监控机制仍需进一步完善。</w:t>
      </w:r>
    </w:p>
    <w:p w14:paraId="7B8D6FFC">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改进措施：</w:t>
      </w:r>
    </w:p>
    <w:p w14:paraId="4EB374B5">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加强预算资金的精细化管理，提高资金使用效率。</w:t>
      </w:r>
    </w:p>
    <w:p w14:paraId="4917FE7A">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完善预算绩效监控机制，加强对预算资金使用情况的跟踪和监控。</w:t>
      </w:r>
    </w:p>
    <w:p w14:paraId="1B241232">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加强与教职工的沟通和交流，了解他们的需求和意见，进一步提高预算资金的使用效果。</w:t>
      </w:r>
    </w:p>
    <w:p w14:paraId="73978600">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综上所述，2023年</w:t>
      </w:r>
      <w:r>
        <w:rPr>
          <w:rFonts w:hint="eastAsia" w:ascii="Times New Roman" w:hAnsi="Times New Roman" w:eastAsia="仿宋_GB2312"/>
          <w:color w:val="000000"/>
          <w:sz w:val="32"/>
          <w:szCs w:val="32"/>
          <w:lang w:eastAsia="zh-CN"/>
        </w:rPr>
        <w:t>我园</w:t>
      </w:r>
      <w:r>
        <w:rPr>
          <w:rFonts w:hint="eastAsia" w:ascii="Times New Roman" w:hAnsi="Times New Roman" w:eastAsia="仿宋_GB2312"/>
          <w:color w:val="000000"/>
          <w:sz w:val="32"/>
          <w:szCs w:val="32"/>
        </w:rPr>
        <w:t>在预算绩效管理方面取得了显著成效，但仍存在一些问题和不足。未来，我们将继续努力加强预算绩效管理，提高资金使用效率，为幼儿园的持续发展提供有力保障。</w:t>
      </w:r>
    </w:p>
    <w:p w14:paraId="40F04600">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597327D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5A82E718">
      <w:pPr>
        <w:spacing w:line="600" w:lineRule="exact"/>
        <w:ind w:firstLine="640" w:firstLineChars="200"/>
        <w:rPr>
          <w:rFonts w:hint="eastAsia" w:eastAsia="仿宋_GB2312"/>
          <w:kern w:val="0"/>
          <w:sz w:val="32"/>
          <w:szCs w:val="32"/>
          <w:lang w:eastAsia="zh-CN"/>
        </w:rPr>
      </w:pPr>
      <w:r>
        <w:rPr>
          <w:rFonts w:hint="eastAsia" w:eastAsia="仿宋_GB2312"/>
          <w:kern w:val="0"/>
          <w:sz w:val="32"/>
          <w:szCs w:val="32"/>
          <w:lang w:eastAsia="zh-CN"/>
        </w:rPr>
        <w:t>无</w:t>
      </w:r>
    </w:p>
    <w:p w14:paraId="596A47DF">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398C0BFB">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无</w:t>
      </w:r>
    </w:p>
    <w:p w14:paraId="0FD4FC91">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002A13FA">
      <w:pPr>
        <w:spacing w:line="600" w:lineRule="exact"/>
        <w:ind w:firstLine="640" w:firstLineChars="200"/>
        <w:rPr>
          <w:rFonts w:hint="eastAsia" w:eastAsia="仿宋_GB2312"/>
          <w:kern w:val="0"/>
          <w:sz w:val="32"/>
          <w:szCs w:val="32"/>
          <w:lang w:eastAsia="zh-CN"/>
        </w:rPr>
      </w:pPr>
      <w:r>
        <w:rPr>
          <w:rFonts w:hint="eastAsia" w:eastAsia="仿宋_GB2312"/>
          <w:kern w:val="0"/>
          <w:sz w:val="32"/>
          <w:szCs w:val="32"/>
          <w:lang w:eastAsia="zh-CN"/>
        </w:rPr>
        <w:t>无</w:t>
      </w:r>
    </w:p>
    <w:p w14:paraId="1027FDF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0427423A">
      <w:pPr>
        <w:spacing w:line="600" w:lineRule="exact"/>
        <w:ind w:firstLine="640" w:firstLineChars="200"/>
        <w:rPr>
          <w:rFonts w:hint="eastAsia" w:eastAsia="仿宋_GB2312"/>
          <w:kern w:val="0"/>
          <w:sz w:val="32"/>
          <w:szCs w:val="32"/>
          <w:lang w:eastAsia="zh-CN"/>
        </w:rPr>
      </w:pPr>
      <w:r>
        <w:rPr>
          <w:rFonts w:hint="eastAsia" w:eastAsia="仿宋_GB2312"/>
          <w:kern w:val="0"/>
          <w:sz w:val="32"/>
          <w:szCs w:val="32"/>
          <w:lang w:eastAsia="zh-CN"/>
        </w:rPr>
        <w:t>无</w:t>
      </w:r>
    </w:p>
    <w:p w14:paraId="5FF36245">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1A8F0012">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67BDA11E">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63564078">
      <w:pPr>
        <w:widowControl/>
        <w:spacing w:line="600" w:lineRule="exact"/>
        <w:ind w:firstLine="640" w:firstLineChars="200"/>
        <w:rPr>
          <w:rFonts w:eastAsia="仿宋_GB2312"/>
          <w:sz w:val="32"/>
          <w:szCs w:val="32"/>
          <w:lang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w:t>
      </w:r>
    </w:p>
    <w:p w14:paraId="74458633">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01756170">
      <w:pPr>
        <w:shd w:val="solid" w:color="FFFFFF" w:fill="auto"/>
        <w:kinsoku/>
        <w:autoSpaceDE/>
        <w:autoSpaceDN w:val="0"/>
        <w:ind w:firstLine="1080" w:firstLineChars="300"/>
        <w:jc w:val="left"/>
        <w:rPr>
          <w:rFonts w:hint="eastAsia" w:eastAsia="方正小标宋_GBK"/>
          <w:bCs/>
          <w:kern w:val="0"/>
          <w:sz w:val="36"/>
          <w:szCs w:val="36"/>
        </w:rPr>
      </w:pPr>
    </w:p>
    <w:p w14:paraId="5F90D4C1">
      <w:pPr>
        <w:shd w:val="solid" w:color="FFFFFF" w:fill="auto"/>
        <w:kinsoku/>
        <w:autoSpaceDE/>
        <w:autoSpaceDN w:val="0"/>
        <w:ind w:firstLine="1080" w:firstLineChars="300"/>
        <w:jc w:val="left"/>
        <w:rPr>
          <w:rFonts w:hint="eastAsia" w:eastAsia="方正小标宋_GBK"/>
          <w:bCs/>
          <w:kern w:val="0"/>
          <w:sz w:val="36"/>
          <w:szCs w:val="36"/>
        </w:rPr>
      </w:pPr>
    </w:p>
    <w:p w14:paraId="13D4A892">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76662384">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C9E">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68E21">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31DEB">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1ZmFlNmQ5MjVlNjllNzIwYjdkNzAxYzU5MWJhM2IifQ=="/>
  </w:docVars>
  <w:rsids>
    <w:rsidRoot w:val="00000000"/>
    <w:rsid w:val="0EF40C50"/>
    <w:rsid w:val="208A45E3"/>
    <w:rsid w:val="4F802C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2900</Words>
  <Characters>3123</Characters>
  <Lines>0</Lines>
  <Paragraphs>0</Paragraphs>
  <TotalTime>40</TotalTime>
  <ScaleCrop>false</ScaleCrop>
  <LinksUpToDate>false</LinksUpToDate>
  <CharactersWithSpaces>3137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2024-10-08T07:40:00Z</dcterms:created>
  <dc:creator>Administrator</dc:creator>
  <cp:lastModifiedBy>Administrator</cp:lastModifiedBy>
  <cp:lastPrinted>2024-10-09T00:35:42Z</cp:lastPrinted>
  <dcterms:modified xsi:type="dcterms:W3CDTF">2024-10-09T00:46:18Z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F5BA86C4D8164558AC255A932C033528_13</vt:lpwstr>
  </property>
</Properties>
</file>